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Normal"/>
        <w:tblW w:w="0" w:type="auto"/>
        <w:tblInd w:w="11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4A0"/>
      </w:tblPr>
      <w:tblGrid>
        <w:gridCol w:w="1304"/>
        <w:gridCol w:w="6150"/>
        <w:gridCol w:w="1918"/>
        <w:gridCol w:w="1503"/>
      </w:tblGrid>
      <w:tr w:rsidR="00504B84">
        <w:trPr>
          <w:trHeight w:val="440"/>
        </w:trPr>
        <w:tc>
          <w:tcPr>
            <w:tcW w:w="1304" w:type="dxa"/>
            <w:vMerge w:val="restart"/>
          </w:tcPr>
          <w:p w:rsidR="00504B84" w:rsidRDefault="00263C74">
            <w:pPr>
              <w:pStyle w:val="TableParagraph"/>
              <w:ind w:left="252"/>
              <w:jc w:val="left"/>
              <w:rPr>
                <w:rFonts w:ascii="Times New Roman"/>
                <w:sz w:val="20"/>
              </w:rPr>
            </w:pPr>
            <w:bookmarkStart w:id="0" w:name="_GoBack"/>
            <w:bookmarkEnd w:id="0"/>
            <w:r>
              <w:rPr>
                <w:rFonts w:ascii="Times New Roman"/>
                <w:noProof/>
                <w:sz w:val="20"/>
                <w:lang w:eastAsia="fr-FR"/>
              </w:rPr>
              <w:drawing>
                <wp:inline distT="0" distB="0" distL="0" distR="0">
                  <wp:extent cx="587375" cy="650875"/>
                  <wp:effectExtent l="0" t="0" r="0" b="0"/>
                  <wp:docPr id="1" name="Image 1" descr="Description : ATT0001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 descr="Description : ATT00019.pn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7602" cy="6515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50" w:type="dxa"/>
          </w:tcPr>
          <w:p w:rsidR="00504B84" w:rsidRDefault="00263C74">
            <w:pPr>
              <w:pStyle w:val="TableParagraph"/>
              <w:spacing w:before="90"/>
              <w:rPr>
                <w:b/>
              </w:rPr>
            </w:pPr>
            <w:r>
              <w:rPr>
                <w:b/>
                <w:color w:val="4F81BC"/>
              </w:rPr>
              <w:t>FACULTEDESSCIENCESDE</w:t>
            </w:r>
            <w:r>
              <w:rPr>
                <w:b/>
                <w:color w:val="4F81BC"/>
                <w:spacing w:val="-2"/>
              </w:rPr>
              <w:t>TUNIS</w:t>
            </w:r>
          </w:p>
        </w:tc>
        <w:tc>
          <w:tcPr>
            <w:tcW w:w="1918" w:type="dxa"/>
          </w:tcPr>
          <w:p w:rsidR="00504B84" w:rsidRDefault="00263C74">
            <w:pPr>
              <w:pStyle w:val="TableParagraph"/>
              <w:spacing w:before="90"/>
              <w:ind w:left="34"/>
              <w:rPr>
                <w:b/>
              </w:rPr>
            </w:pPr>
            <w:r>
              <w:rPr>
                <w:b/>
              </w:rPr>
              <w:t>R-SAA-INS-02</w:t>
            </w:r>
            <w:r>
              <w:rPr>
                <w:b/>
                <w:spacing w:val="-5"/>
              </w:rPr>
              <w:t>│V2</w:t>
            </w:r>
          </w:p>
        </w:tc>
        <w:tc>
          <w:tcPr>
            <w:tcW w:w="1503" w:type="dxa"/>
            <w:vMerge w:val="restart"/>
          </w:tcPr>
          <w:p w:rsidR="00504B84" w:rsidRDefault="00504B84">
            <w:pPr>
              <w:pStyle w:val="TableParagraph"/>
              <w:spacing w:before="10"/>
              <w:ind w:left="0"/>
              <w:jc w:val="left"/>
              <w:rPr>
                <w:rFonts w:ascii="Times New Roman"/>
                <w:sz w:val="11"/>
              </w:rPr>
            </w:pPr>
          </w:p>
          <w:p w:rsidR="00504B84" w:rsidRDefault="00263C74">
            <w:pPr>
              <w:pStyle w:val="TableParagraph"/>
              <w:ind w:left="134"/>
              <w:jc w:val="left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eastAsia="fr-FR"/>
              </w:rPr>
              <w:drawing>
                <wp:inline distT="0" distB="0" distL="0" distR="0">
                  <wp:extent cx="774700" cy="557530"/>
                  <wp:effectExtent l="0" t="0" r="0" b="0"/>
                  <wp:docPr id="2" name="Image 2" descr="Description : http://www.fst.rnu.tn/fr/img/logo_fst_tunisie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 descr="Description : http://www.fst.rnu.tn/fr/img/logo_fst_tunisie.jp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5225" cy="5577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04B84">
        <w:trPr>
          <w:trHeight w:val="572"/>
        </w:trPr>
        <w:tc>
          <w:tcPr>
            <w:tcW w:w="1304" w:type="dxa"/>
            <w:vMerge/>
            <w:tcBorders>
              <w:top w:val="nil"/>
            </w:tcBorders>
          </w:tcPr>
          <w:p w:rsidR="00504B84" w:rsidRDefault="00504B84">
            <w:pPr>
              <w:rPr>
                <w:sz w:val="2"/>
                <w:szCs w:val="2"/>
              </w:rPr>
            </w:pPr>
          </w:p>
        </w:tc>
        <w:tc>
          <w:tcPr>
            <w:tcW w:w="6150" w:type="dxa"/>
          </w:tcPr>
          <w:p w:rsidR="00504B84" w:rsidRDefault="00263C74">
            <w:pPr>
              <w:pStyle w:val="TableParagraph"/>
              <w:spacing w:before="167"/>
              <w:ind w:right="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REGLEMENT GENERAL DES EXAMENS</w:t>
            </w:r>
          </w:p>
        </w:tc>
        <w:tc>
          <w:tcPr>
            <w:tcW w:w="1918" w:type="dxa"/>
          </w:tcPr>
          <w:p w:rsidR="00504B84" w:rsidRDefault="00263C74">
            <w:pPr>
              <w:pStyle w:val="TableParagraph"/>
              <w:spacing w:before="166"/>
              <w:ind w:left="34" w:right="5"/>
              <w:rPr>
                <w:b/>
                <w:sz w:val="20"/>
              </w:rPr>
            </w:pPr>
            <w:r>
              <w:rPr>
                <w:b/>
                <w:sz w:val="20"/>
              </w:rPr>
              <w:t>Date:</w:t>
            </w:r>
            <w:r>
              <w:rPr>
                <w:b/>
                <w:spacing w:val="-2"/>
                <w:sz w:val="20"/>
              </w:rPr>
              <w:t>25/08/2025</w:t>
            </w:r>
          </w:p>
        </w:tc>
        <w:tc>
          <w:tcPr>
            <w:tcW w:w="1503" w:type="dxa"/>
            <w:vMerge/>
            <w:tcBorders>
              <w:top w:val="nil"/>
            </w:tcBorders>
          </w:tcPr>
          <w:p w:rsidR="00504B84" w:rsidRDefault="00504B84">
            <w:pPr>
              <w:rPr>
                <w:sz w:val="2"/>
                <w:szCs w:val="2"/>
              </w:rPr>
            </w:pPr>
          </w:p>
        </w:tc>
      </w:tr>
    </w:tbl>
    <w:p w:rsidR="00504B84" w:rsidRDefault="00504B84">
      <w:pPr>
        <w:pStyle w:val="Corpsdetexte"/>
        <w:spacing w:before="0"/>
        <w:ind w:left="0" w:right="0" w:firstLine="0"/>
        <w:jc w:val="left"/>
      </w:pPr>
    </w:p>
    <w:p w:rsidR="00504B84" w:rsidRDefault="00504B84">
      <w:pPr>
        <w:pStyle w:val="Corpsdetexte"/>
        <w:spacing w:before="71"/>
        <w:ind w:left="0" w:right="0" w:firstLine="0"/>
        <w:jc w:val="left"/>
      </w:pPr>
    </w:p>
    <w:p w:rsidR="00504B84" w:rsidRDefault="00263C74">
      <w:pPr>
        <w:pStyle w:val="Corpsdetexte"/>
        <w:spacing w:before="1"/>
      </w:pPr>
      <w:r>
        <w:rPr>
          <w:rFonts w:ascii="Arial" w:hAnsi="Arial"/>
          <w:b/>
          <w:color w:val="003366"/>
          <w:sz w:val="22"/>
          <w:u w:val="thick" w:color="003366"/>
        </w:rPr>
        <w:t>ARTICLE1/</w:t>
      </w:r>
      <w:r>
        <w:t>: Lesétudiantsinscritspourl’annéeuniversitaireencours</w:t>
      </w:r>
      <w:proofErr w:type="gramStart"/>
      <w:r>
        <w:t>,doiventseconformer</w:t>
      </w:r>
      <w:r>
        <w:t>aux</w:t>
      </w:r>
      <w:proofErr w:type="gramEnd"/>
      <w:r>
        <w:t xml:space="preserve"> dispositions du présent règlement ainsi qu’aux mesures et décisions arrêtées par le professeur responsable de la </w:t>
      </w:r>
      <w:r>
        <w:rPr>
          <w:spacing w:val="-2"/>
        </w:rPr>
        <w:t>salle d’examen.</w:t>
      </w:r>
    </w:p>
    <w:p w:rsidR="00504B84" w:rsidRDefault="00263C74">
      <w:pPr>
        <w:pStyle w:val="Corpsdetexte"/>
        <w:ind w:right="146"/>
      </w:pPr>
      <w:r>
        <w:rPr>
          <w:rFonts w:ascii="Arial" w:hAnsi="Arial"/>
          <w:b/>
          <w:color w:val="003366"/>
          <w:sz w:val="22"/>
          <w:u w:val="thick" w:color="003366"/>
        </w:rPr>
        <w:t>ARTICLE 2/</w:t>
      </w:r>
      <w:r>
        <w:t>: Les calendriers des épreuves et les listes des étudiants par groupe d’examens sont affichés sur les panneaux de</w:t>
      </w:r>
      <w:r>
        <w:t xml:space="preserve"> l’Administration Centrale et sur les portes des salles d’examens.</w:t>
      </w:r>
    </w:p>
    <w:p w:rsidR="00504B84" w:rsidRDefault="00263C74">
      <w:pPr>
        <w:pStyle w:val="Corpsdetexte"/>
      </w:pPr>
      <w:r>
        <w:rPr>
          <w:rFonts w:ascii="Arial" w:hAnsi="Arial"/>
          <w:b/>
          <w:color w:val="003366"/>
          <w:sz w:val="22"/>
          <w:u w:val="thick" w:color="003366"/>
        </w:rPr>
        <w:t>ARTICLE 3/</w:t>
      </w:r>
      <w:r>
        <w:t>: Chaque étudiant doit, à l’entrée de la salle d’examen, se munir obligatoirement de sa carte d’étudiant, à défaut de sa carte d’identité nationale et de son attestation d’inscrip</w:t>
      </w:r>
      <w:r>
        <w:t xml:space="preserve">tion. Les examens </w:t>
      </w:r>
      <w:r>
        <w:rPr>
          <w:spacing w:val="-2"/>
        </w:rPr>
        <w:t>doivent se dérouler à visage découvert.</w:t>
      </w:r>
    </w:p>
    <w:p w:rsidR="00504B84" w:rsidRDefault="00263C74">
      <w:pPr>
        <w:pStyle w:val="Corpsdetexte"/>
        <w:spacing w:before="124" w:line="235" w:lineRule="auto"/>
        <w:ind w:right="133"/>
      </w:pPr>
      <w:r>
        <w:rPr>
          <w:rFonts w:ascii="Arial" w:hAnsi="Arial"/>
          <w:b/>
          <w:color w:val="003366"/>
          <w:sz w:val="22"/>
          <w:u w:val="thick" w:color="003366"/>
        </w:rPr>
        <w:t>ARTICLE 4/</w:t>
      </w:r>
      <w:r>
        <w:t>: Aucun étudiant ne sera admis dans la salle d’examen après 20 mn du début de l’épreuve. Au-delà, l’autorisation de l’administration est requise.</w:t>
      </w:r>
    </w:p>
    <w:p w:rsidR="00504B84" w:rsidRDefault="00263C74">
      <w:pPr>
        <w:spacing w:before="125"/>
        <w:ind w:left="424" w:right="130" w:hanging="284"/>
        <w:jc w:val="both"/>
        <w:rPr>
          <w:sz w:val="24"/>
        </w:rPr>
      </w:pPr>
      <w:r>
        <w:rPr>
          <w:rFonts w:ascii="Arial" w:hAnsi="Arial"/>
          <w:b/>
          <w:color w:val="003366"/>
          <w:u w:val="thick" w:color="003366"/>
        </w:rPr>
        <w:t>ARTICLE 5/</w:t>
      </w:r>
      <w:r>
        <w:rPr>
          <w:sz w:val="24"/>
        </w:rPr>
        <w:t>:</w:t>
      </w:r>
      <w:r>
        <w:rPr>
          <w:b/>
          <w:i/>
          <w:sz w:val="24"/>
          <w:u w:val="thick"/>
        </w:rPr>
        <w:t>Il est interdit</w:t>
      </w:r>
      <w:r>
        <w:rPr>
          <w:sz w:val="24"/>
        </w:rPr>
        <w:t xml:space="preserve"> aux étudiants d</w:t>
      </w:r>
      <w:r>
        <w:rPr>
          <w:sz w:val="24"/>
        </w:rPr>
        <w:t xml:space="preserve">e faire usage, dans la salle d’examen </w:t>
      </w:r>
      <w:r>
        <w:rPr>
          <w:b/>
          <w:i/>
          <w:sz w:val="24"/>
          <w:u w:val="thick"/>
        </w:rPr>
        <w:t xml:space="preserve">de téléphones portables ou tout </w:t>
      </w:r>
      <w:r>
        <w:rPr>
          <w:b/>
          <w:i/>
          <w:sz w:val="24"/>
          <w:u w:val="thick"/>
        </w:rPr>
        <w:t xml:space="preserve">autre équipement électronique programmable. </w:t>
      </w:r>
      <w:r>
        <w:rPr>
          <w:sz w:val="24"/>
        </w:rPr>
        <w:t>Chaque étudiant doit déposer, à l’entrée de la salle d’examen, tous les documents et les objets tels que sacs à main, cartables, etc.</w:t>
      </w:r>
    </w:p>
    <w:p w:rsidR="00504B84" w:rsidRDefault="00263C74">
      <w:pPr>
        <w:pStyle w:val="Corpsdetexte"/>
        <w:spacing w:before="118"/>
      </w:pPr>
      <w:r>
        <w:rPr>
          <w:rFonts w:ascii="Arial" w:hAnsi="Arial"/>
          <w:b/>
          <w:color w:val="003366"/>
          <w:sz w:val="22"/>
          <w:u w:val="thick" w:color="003366"/>
        </w:rPr>
        <w:t xml:space="preserve">ARTICLE </w:t>
      </w:r>
      <w:r>
        <w:rPr>
          <w:rFonts w:ascii="Arial" w:hAnsi="Arial"/>
          <w:b/>
          <w:color w:val="003366"/>
          <w:sz w:val="22"/>
          <w:u w:val="thick" w:color="003366"/>
        </w:rPr>
        <w:t>6/</w:t>
      </w:r>
      <w:r>
        <w:t xml:space="preserve">: Le candidat doit se doter de tout ce qui est nécessaire pour passer l’épreuve tels que stylos, </w:t>
      </w:r>
      <w:proofErr w:type="spellStart"/>
      <w:r>
        <w:t>règle</w:t>
      </w:r>
      <w:proofErr w:type="gramStart"/>
      <w:r>
        <w:t>,effaceur</w:t>
      </w:r>
      <w:proofErr w:type="spellEnd"/>
      <w:proofErr w:type="gramEnd"/>
      <w:r>
        <w:t xml:space="preserve">, gomme, calculatrice non programmable. Aucun échange de fourniture n’est permis au </w:t>
      </w:r>
      <w:r>
        <w:rPr>
          <w:spacing w:val="-2"/>
        </w:rPr>
        <w:t>cours de l’épreuve.</w:t>
      </w:r>
    </w:p>
    <w:p w:rsidR="00504B84" w:rsidRDefault="00263C74">
      <w:pPr>
        <w:pStyle w:val="Corpsdetexte"/>
        <w:ind w:right="143"/>
      </w:pPr>
      <w:r>
        <w:rPr>
          <w:rFonts w:ascii="Arial" w:hAnsi="Arial"/>
          <w:b/>
          <w:color w:val="003366"/>
          <w:sz w:val="22"/>
          <w:u w:val="thick" w:color="003366"/>
        </w:rPr>
        <w:t>ARTICLE 7/</w:t>
      </w:r>
      <w:r>
        <w:t>: Le candidat ne peut quitter</w:t>
      </w:r>
      <w:r>
        <w:t xml:space="preserve"> la salle d’examen qu’après avoir remis sa copie même blanche, et signé la liste d’émargement, et ce au moins 30 mn après le début de l’épreuve.</w:t>
      </w:r>
    </w:p>
    <w:p w:rsidR="00504B84" w:rsidRDefault="00263C74">
      <w:pPr>
        <w:tabs>
          <w:tab w:val="left" w:pos="10699"/>
        </w:tabs>
        <w:spacing w:before="120" w:line="242" w:lineRule="auto"/>
        <w:ind w:left="424" w:right="131" w:hanging="284"/>
        <w:jc w:val="both"/>
        <w:rPr>
          <w:b/>
          <w:i/>
          <w:sz w:val="24"/>
        </w:rPr>
      </w:pPr>
      <w:r>
        <w:rPr>
          <w:rFonts w:ascii="Arial" w:hAnsi="Arial"/>
          <w:b/>
          <w:color w:val="003366"/>
          <w:spacing w:val="-2"/>
          <w:u w:val="thick" w:color="003366"/>
        </w:rPr>
        <w:t>ARTICLE 8/</w:t>
      </w:r>
      <w:r>
        <w:rPr>
          <w:spacing w:val="-2"/>
          <w:sz w:val="24"/>
        </w:rPr>
        <w:t>: Le candidat doit signer la liste d’émargement et apposer la paire d’étiquettes code-barres au début</w:t>
      </w:r>
      <w:r>
        <w:rPr>
          <w:sz w:val="24"/>
        </w:rPr>
        <w:tab/>
      </w:r>
      <w:r>
        <w:rPr>
          <w:spacing w:val="-6"/>
          <w:sz w:val="24"/>
        </w:rPr>
        <w:t xml:space="preserve">de </w:t>
      </w:r>
      <w:r>
        <w:rPr>
          <w:sz w:val="24"/>
        </w:rPr>
        <w:t xml:space="preserve">l’épreuve : une étiquette sur la souche et l’autre sur le cahier d’examen. La deuxième signature doit avoir lieu après la remise de la copie d’examen même blanche directement à l’enseignant responsable de la salle. </w:t>
      </w:r>
      <w:r>
        <w:rPr>
          <w:b/>
          <w:i/>
          <w:sz w:val="24"/>
          <w:u w:val="thick"/>
        </w:rPr>
        <w:t>Aucune copie non signée par l’enseign</w:t>
      </w:r>
      <w:r>
        <w:rPr>
          <w:b/>
          <w:i/>
          <w:sz w:val="24"/>
          <w:u w:val="thick"/>
        </w:rPr>
        <w:t>ant surveillant ne sera prise en considération lors de la correction.</w:t>
      </w:r>
    </w:p>
    <w:p w:rsidR="00504B84" w:rsidRDefault="00263C74">
      <w:pPr>
        <w:pStyle w:val="Corpsdetexte"/>
        <w:spacing w:before="109"/>
        <w:ind w:right="137"/>
      </w:pPr>
      <w:r>
        <w:rPr>
          <w:rFonts w:ascii="Arial" w:hAnsi="Arial"/>
          <w:b/>
          <w:color w:val="003366"/>
          <w:sz w:val="22"/>
          <w:u w:val="thick" w:color="003366"/>
        </w:rPr>
        <w:t>ARTICLE 9/</w:t>
      </w:r>
      <w:r>
        <w:t>: Il est strictement interdit de fumer dans la salle d’examen</w:t>
      </w:r>
      <w:r>
        <w:rPr>
          <w:color w:val="FF0000"/>
        </w:rPr>
        <w:t xml:space="preserve">. </w:t>
      </w:r>
      <w:r>
        <w:t>Les étudiants ne sont pas autorisés à quitter temporairement la salle d’examen sous aucun prétexte. En cas de néc</w:t>
      </w:r>
      <w:r>
        <w:t>essité et d’urgence, l’étudiant doit s’adresser à l’enseignant surveillant, responsable de la salle d’examen.</w:t>
      </w:r>
    </w:p>
    <w:p w:rsidR="00504B84" w:rsidRDefault="00263C74">
      <w:pPr>
        <w:pStyle w:val="Corpsdetexte"/>
      </w:pPr>
      <w:r>
        <w:rPr>
          <w:rFonts w:ascii="Arial" w:hAnsi="Arial"/>
          <w:b/>
          <w:color w:val="003366"/>
          <w:sz w:val="22"/>
          <w:u w:val="thick" w:color="003366"/>
        </w:rPr>
        <w:t xml:space="preserve">ARTICLE 10/ </w:t>
      </w:r>
      <w:r>
        <w:t>: Le candidat doit utiliser le papier fourni le jour de l’examen par l’administration : feuilles de brouillon et cahier d’examen signé</w:t>
      </w:r>
      <w:r>
        <w:t>s par l’enseignant surveillant.</w:t>
      </w:r>
    </w:p>
    <w:p w:rsidR="00504B84" w:rsidRDefault="00263C74">
      <w:pPr>
        <w:pStyle w:val="Corpsdetexte"/>
        <w:tabs>
          <w:tab w:val="left" w:pos="1619"/>
          <w:tab w:val="left" w:pos="3135"/>
          <w:tab w:val="left" w:pos="4104"/>
          <w:tab w:val="left" w:pos="5632"/>
          <w:tab w:val="left" w:pos="6453"/>
        </w:tabs>
        <w:spacing w:before="121"/>
        <w:ind w:right="136"/>
      </w:pPr>
      <w:r>
        <w:rPr>
          <w:rFonts w:ascii="Arial" w:hAnsi="Arial"/>
          <w:b/>
          <w:color w:val="003366"/>
          <w:sz w:val="22"/>
          <w:u w:val="thick" w:color="003366"/>
        </w:rPr>
        <w:t>ARTICLE 11/</w:t>
      </w:r>
      <w:r>
        <w:t>: Tout étudiant en situation de flagrant délit de fraude, de tentative de fraude, d’un quelconque manquement à la discipline des examens ou non-respect du règlement général est exclu automatiquement de la salle pa</w:t>
      </w:r>
      <w:r>
        <w:t xml:space="preserve">r l’enseignant responsable, qui est tenu de remettre un rapport circonstancié à l’administration. L’étudiant sera soumis aux dispositions du décret n°2008-2716 du 4 août </w:t>
      </w:r>
      <w:r>
        <w:rPr>
          <w:spacing w:val="-4"/>
        </w:rPr>
        <w:t>2008</w:t>
      </w:r>
      <w:r>
        <w:rPr>
          <w:spacing w:val="-2"/>
        </w:rPr>
        <w:t xml:space="preserve"> (Section</w:t>
      </w:r>
      <w:r>
        <w:tab/>
      </w:r>
      <w:r>
        <w:rPr>
          <w:spacing w:val="-6"/>
        </w:rPr>
        <w:t xml:space="preserve">V) </w:t>
      </w:r>
      <w:r>
        <w:rPr>
          <w:spacing w:val="-2"/>
        </w:rPr>
        <w:t xml:space="preserve"> relatives</w:t>
      </w:r>
      <w:r>
        <w:tab/>
      </w:r>
      <w:r>
        <w:rPr>
          <w:spacing w:val="-10"/>
        </w:rPr>
        <w:t xml:space="preserve">à </w:t>
      </w:r>
      <w:r>
        <w:rPr>
          <w:spacing w:val="-2"/>
        </w:rPr>
        <w:t xml:space="preserve">la procédure disciplinaire dans les Établissements </w:t>
      </w:r>
      <w:r>
        <w:t>d’Ens</w:t>
      </w:r>
      <w:r>
        <w:t>eignement Supérieur (Article 50 – Article 61).</w:t>
      </w:r>
    </w:p>
    <w:p w:rsidR="00504B84" w:rsidRDefault="00263C74">
      <w:pPr>
        <w:pStyle w:val="Corpsdetexte"/>
        <w:spacing w:before="123"/>
        <w:ind w:right="132"/>
      </w:pPr>
      <w:r>
        <w:rPr>
          <w:rFonts w:ascii="Arial" w:hAnsi="Arial"/>
          <w:b/>
          <w:color w:val="003366"/>
          <w:sz w:val="22"/>
          <w:u w:val="thick" w:color="003366"/>
        </w:rPr>
        <w:t>ARTICLE 12/</w:t>
      </w:r>
      <w:r>
        <w:t xml:space="preserve">: Les étudiants en situation de handicap peuvent bénéficier de mesures spéciales en leur faveur. Celles-ci sont accordées sur la base d’un dossier médical et attestées par un document officiel émis </w:t>
      </w:r>
      <w:r>
        <w:rPr>
          <w:spacing w:val="-2"/>
        </w:rPr>
        <w:t>par l’Administration Centrale.</w:t>
      </w:r>
    </w:p>
    <w:p w:rsidR="00504B84" w:rsidRDefault="00504B84">
      <w:pPr>
        <w:pStyle w:val="Corpsdetexte"/>
        <w:spacing w:before="26"/>
        <w:ind w:left="0" w:right="0" w:firstLine="0"/>
        <w:jc w:val="left"/>
        <w:rPr>
          <w:sz w:val="40"/>
        </w:rPr>
      </w:pPr>
    </w:p>
    <w:p w:rsidR="00504B84" w:rsidRDefault="00263C74">
      <w:pPr>
        <w:ind w:left="35"/>
        <w:rPr>
          <w:b/>
          <w:i/>
          <w:sz w:val="40"/>
        </w:rPr>
      </w:pPr>
      <w:proofErr w:type="spellStart"/>
      <w:r>
        <w:rPr>
          <w:b/>
          <w:i/>
          <w:color w:val="003366"/>
          <w:w w:val="75"/>
          <w:sz w:val="40"/>
        </w:rPr>
        <w:t>Signaturede</w:t>
      </w:r>
      <w:r>
        <w:rPr>
          <w:b/>
          <w:i/>
          <w:color w:val="003366"/>
          <w:spacing w:val="-2"/>
          <w:w w:val="75"/>
          <w:sz w:val="40"/>
        </w:rPr>
        <w:t>l’étudiant</w:t>
      </w:r>
      <w:proofErr w:type="spellEnd"/>
    </w:p>
    <w:p w:rsidR="00504B84" w:rsidRDefault="00263C74">
      <w:pPr>
        <w:spacing w:before="163"/>
        <w:ind w:left="6706"/>
        <w:rPr>
          <w:b/>
          <w:i/>
          <w:sz w:val="40"/>
        </w:rPr>
      </w:pPr>
      <w:r>
        <w:rPr>
          <w:b/>
          <w:i/>
          <w:color w:val="003366"/>
          <w:w w:val="75"/>
          <w:sz w:val="40"/>
        </w:rPr>
        <w:t>Le Secrétaire Général</w:t>
      </w:r>
      <w:r>
        <w:rPr>
          <w:b/>
          <w:i/>
          <w:color w:val="003366"/>
          <w:w w:val="75"/>
          <w:sz w:val="42"/>
        </w:rPr>
        <w:t>/</w:t>
      </w:r>
      <w:r>
        <w:rPr>
          <w:b/>
          <w:i/>
          <w:color w:val="003366"/>
          <w:spacing w:val="-2"/>
          <w:w w:val="75"/>
          <w:sz w:val="40"/>
        </w:rPr>
        <w:t>Le Doyen</w:t>
      </w:r>
    </w:p>
    <w:sectPr w:rsidR="00504B84" w:rsidSect="00504B84">
      <w:type w:val="continuous"/>
      <w:pgSz w:w="11920" w:h="16850"/>
      <w:pgMar w:top="260" w:right="425" w:bottom="280" w:left="425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</w:compat>
  <w:rsids>
    <w:rsidRoot w:val="00930887"/>
    <w:rsid w:val="00263C74"/>
    <w:rsid w:val="00504B84"/>
    <w:rsid w:val="00702991"/>
    <w:rsid w:val="007E35E4"/>
    <w:rsid w:val="00812385"/>
    <w:rsid w:val="00930887"/>
    <w:rsid w:val="498B4B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List Paragraph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504B84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uiPriority w:val="1"/>
    <w:qFormat/>
    <w:rsid w:val="00504B84"/>
    <w:pPr>
      <w:spacing w:before="120"/>
      <w:ind w:left="424" w:right="138" w:hanging="284"/>
      <w:jc w:val="both"/>
    </w:pPr>
    <w:rPr>
      <w:sz w:val="24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qFormat/>
    <w:rsid w:val="00504B84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504B8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phedeliste">
    <w:name w:val="List Paragraph"/>
    <w:basedOn w:val="Normal"/>
    <w:uiPriority w:val="1"/>
    <w:qFormat/>
    <w:rsid w:val="00504B84"/>
  </w:style>
  <w:style w:type="paragraph" w:customStyle="1" w:styleId="TableParagraph">
    <w:name w:val="Table Paragraph"/>
    <w:basedOn w:val="Normal"/>
    <w:uiPriority w:val="1"/>
    <w:qFormat/>
    <w:rsid w:val="00504B84"/>
    <w:pPr>
      <w:ind w:left="17"/>
      <w:jc w:val="center"/>
    </w:pPr>
    <w:rPr>
      <w:rFonts w:ascii="Calibri" w:eastAsia="Calibri" w:hAnsi="Calibri" w:cs="Calibri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qFormat/>
    <w:rsid w:val="00504B84"/>
    <w:rPr>
      <w:rFonts w:ascii="Tahoma" w:eastAsia="Times New Roman" w:hAnsi="Tahoma" w:cs="Tahoma"/>
      <w:sz w:val="16"/>
      <w:szCs w:val="16"/>
      <w:lang w:val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513</Words>
  <Characters>2824</Characters>
  <Application>Microsoft Office Word</Application>
  <DocSecurity>0</DocSecurity>
  <Lines>23</Lines>
  <Paragraphs>6</Paragraphs>
  <ScaleCrop>false</ScaleCrop>
  <Company/>
  <LinksUpToDate>false</LinksUpToDate>
  <CharactersWithSpaces>3331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Karima</dc:creator>
  <cp:lastModifiedBy>user</cp:lastModifiedBy>
  <cp:revision>3</cp:revision>
  <dcterms:created xsi:type="dcterms:W3CDTF">2026-07-24T12:04:00Z</dcterms:created>
  <dcterms:modified xsi:type="dcterms:W3CDTF">2026-07-31T10:30:00Z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2025-08-08T00:00:00Z</vt:filetime>
  </property>
  <property fmtid="{D5CDD505-2E9C-101B-9397-08002B2CF9AE}" pid="4" name="Creator">
    <vt:lpwstr>Microsoft® Office Word 2007</vt:lpwstr>
  </property>
  <property fmtid="{D5CDD505-2E9C-101B-9397-08002B2CF9AE}" pid="5" name="LastSaved">
    <vt:filetime>2026-07-09T00:00:00Z</vt:filetime>
  </property>
  <property fmtid="{D5CDD505-2E9C-101B-9397-08002B2CF9AE}" pid="6" name="Producer">
    <vt:lpwstr>Microsoft® Office Word 2007</vt:lpwstr>
  </property>
  <property fmtid="{D5CDD505-2E9C-101B-9397-08002B2CF9AE}" pid="7" name="KSOProductBuildVer">
    <vt:lpwstr>1036-12.1.0.28032</vt:lpwstr>
  </property>
  <property fmtid="{D5CDD505-2E9C-101B-9397-08002B2CF9AE}" pid="8" name="ICV">
    <vt:lpwstr>3D20E93D8C934454BEAF237F4F811EE6_13</vt:lpwstr>
  </property>
</Properties>
</file>